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22 серпня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               м. Сквира                               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-38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нежитлове приміщення громадського будинку загальною площею 38,1 кв.м. по вул. Липовецька, 93 в місті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22.08.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2023 року №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-38-VІІІ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60 Закону України «Про місцеве самоврядування в Україні», враховуючи пропозиції постійних комісій міської ради,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громадського будинку  (приміщення № 20), загальною площею 38,1 кв.м. за адресою:                                                                   вул. Липовецька, 93 в м. Сквира Білоцерківського району Київської області.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22.08.2023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-38-VІІІ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нежитлового приміщення розташованого за адресою: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вул. Липовецька,93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громадського будинку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ЄДРПОУ 43131772, вул. Слобідська, буд. 4, м.Сквира, Білоцерківський район, Київська область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Шутенко Сергій Олександрович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(050) 313-92-61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skg_ev@ukr.net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Слобідська, буд. 4, м. Сквира, Білоцерківський район, Київська область У робочі дні з 8.00 до 17.00, обідня перерва з 12.00 до 13.00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175 852,00 грн.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 31.07.2023 року – 19 028,80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термін оренди -  5  років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38.10 кв.м.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38.10 кв.м.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громадського двоповерхового будинку з надземним розташуванням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житлово - комунального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Марина ТЕРНОВА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громадського будинку загальною площею 38,1кв.м. по вул. Липовецька, 93 в місті Сквира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Заява Коберника Сергія Володимировича вих.№03-904 від 26.07.2023 року про можливість надання в оренду нерухомого майна, що належить до комунальної власності Сквирської міської ради – нежитлове приміщення № 20, загальною площею 38,10кв.м. за адресою: вул. Липовецька, 93, м. Сквира, Білоцерківського району, Київської області. 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 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розсилки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громадського будинку загальною площею 38,1кв.м. по вул. Липовецька, 93 в місті Сквира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0.0" w:type="dxa"/>
        <w:jc w:val="left"/>
        <w:tblInd w:w="3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3148"/>
        <w:gridCol w:w="1417"/>
        <w:gridCol w:w="2127"/>
        <w:gridCol w:w="1693"/>
        <w:tblGridChange w:id="0">
          <w:tblGrid>
            <w:gridCol w:w="675"/>
            <w:gridCol w:w="3148"/>
            <w:gridCol w:w="1417"/>
            <w:gridCol w:w="2127"/>
            <w:gridCol w:w="1693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Строгий,обычный">
    <w:name w:val="Строгий,обычный"/>
    <w:next w:val="Строгий,обычны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E6HM3WztLIs9Is5KrDxssyug4Q==">CgMxLjAyCGguZ2pkZ3hzOAByITExVDRDNzJ5WDE3YTN2WDVlVWh1cU9sWGt3Z3lnMVF4YQ==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